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F1AC8" w:rsidRPr="00CF28C0" w:rsidRDefault="007F1AC8" w:rsidP="007F1AC8">
      <w:pPr>
        <w:jc w:val="center"/>
        <w:rPr>
          <w:b/>
          <w:sz w:val="36"/>
          <w:u w:val="single"/>
        </w:rPr>
      </w:pPr>
      <w:r w:rsidRPr="00CF28C0">
        <w:rPr>
          <w:b/>
          <w:sz w:val="36"/>
          <w:u w:val="single"/>
        </w:rPr>
        <w:t>Cornerstone Assessment</w:t>
      </w:r>
      <w:r>
        <w:rPr>
          <w:b/>
          <w:sz w:val="36"/>
          <w:u w:val="single"/>
        </w:rPr>
        <w:t xml:space="preserve"> for Geography</w:t>
      </w:r>
    </w:p>
    <w:p w:rsidR="007F1AC8" w:rsidRDefault="007F1AC8" w:rsidP="007F1AC8"/>
    <w:p w:rsidR="007F1AC8" w:rsidRDefault="007F1AC8" w:rsidP="007F1AC8"/>
    <w:p w:rsidR="007F1AC8" w:rsidRPr="0070076D" w:rsidRDefault="007F1AC8" w:rsidP="007F1AC8">
      <w:pPr>
        <w:rPr>
          <w:b/>
          <w:sz w:val="28"/>
          <w:u w:val="single"/>
        </w:rPr>
      </w:pPr>
      <w:r w:rsidRPr="0070076D">
        <w:rPr>
          <w:b/>
          <w:sz w:val="28"/>
          <w:u w:val="single"/>
        </w:rPr>
        <w:t>We need to:</w:t>
      </w:r>
    </w:p>
    <w:p w:rsidR="007F1AC8" w:rsidRPr="0070076D" w:rsidRDefault="007F1AC8" w:rsidP="007F1AC8">
      <w:pPr>
        <w:pStyle w:val="ListParagraph"/>
        <w:numPr>
          <w:ilvl w:val="0"/>
          <w:numId w:val="5"/>
        </w:numPr>
      </w:pPr>
      <w:r w:rsidRPr="0070076D">
        <w:t>Create a common “cornerstone” assessment for this unit of study.</w:t>
      </w:r>
    </w:p>
    <w:p w:rsidR="007F1AC8" w:rsidRPr="0070076D" w:rsidRDefault="007F1AC8" w:rsidP="007F1AC8">
      <w:pPr>
        <w:pStyle w:val="ListParagraph"/>
        <w:numPr>
          <w:ilvl w:val="0"/>
          <w:numId w:val="5"/>
        </w:numPr>
      </w:pPr>
      <w:r w:rsidRPr="0070076D">
        <w:t>Create common Essential Questions for this unit</w:t>
      </w:r>
    </w:p>
    <w:p w:rsidR="007F1AC8" w:rsidRDefault="007F1AC8" w:rsidP="007F1AC8"/>
    <w:p w:rsidR="007F1AC8" w:rsidRDefault="007F1AC8" w:rsidP="007F1AC8"/>
    <w:p w:rsidR="007F1AC8" w:rsidRDefault="007F1AC8" w:rsidP="007F1AC8">
      <w:r>
        <w:rPr>
          <w:b/>
          <w:sz w:val="28"/>
        </w:rPr>
        <w:t>Geography</w:t>
      </w:r>
      <w:r w:rsidRPr="0070076D">
        <w:rPr>
          <w:b/>
          <w:sz w:val="28"/>
        </w:rPr>
        <w:t xml:space="preserve"> Cornerstone Assessment</w:t>
      </w:r>
      <w:r>
        <w:rPr>
          <w:b/>
          <w:sz w:val="28"/>
        </w:rPr>
        <w:t xml:space="preserve"> (suggestion)</w:t>
      </w:r>
    </w:p>
    <w:p w:rsidR="007F1AC8" w:rsidRPr="0070076D" w:rsidRDefault="007F1AC8" w:rsidP="007F1AC8">
      <w:pPr>
        <w:rPr>
          <w:sz w:val="24"/>
        </w:rPr>
      </w:pP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>Assessment should address the same Standards and Benchmarks</w:t>
      </w: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>Assessment should address the same Enduring Understandings</w:t>
      </w: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>Assessment should show knowledge of the Essential Questions of the Unit</w:t>
      </w: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 xml:space="preserve">Students should present </w:t>
      </w:r>
      <w:r>
        <w:rPr>
          <w:sz w:val="24"/>
        </w:rPr>
        <w:t xml:space="preserve">and publish </w:t>
      </w:r>
      <w:r w:rsidRPr="0070076D">
        <w:rPr>
          <w:sz w:val="24"/>
        </w:rPr>
        <w:t xml:space="preserve">some part of their </w:t>
      </w:r>
      <w:r>
        <w:rPr>
          <w:sz w:val="24"/>
        </w:rPr>
        <w:t>work</w:t>
      </w:r>
      <w:r w:rsidRPr="0070076D">
        <w:rPr>
          <w:sz w:val="24"/>
        </w:rPr>
        <w:t xml:space="preserve"> to a broader audience</w:t>
      </w:r>
      <w:r>
        <w:rPr>
          <w:sz w:val="24"/>
        </w:rPr>
        <w:t xml:space="preserve"> (ex. presentation, post to </w:t>
      </w:r>
      <w:proofErr w:type="spellStart"/>
      <w:r>
        <w:rPr>
          <w:sz w:val="24"/>
        </w:rPr>
        <w:t>blog</w:t>
      </w:r>
      <w:proofErr w:type="spellEnd"/>
      <w:r>
        <w:rPr>
          <w:sz w:val="24"/>
        </w:rPr>
        <w:t>)</w:t>
      </w: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>Students should self reflect on their work</w:t>
      </w:r>
    </w:p>
    <w:p w:rsidR="007F1AC8" w:rsidRPr="0070076D" w:rsidRDefault="007F1AC8" w:rsidP="007F1AC8">
      <w:pPr>
        <w:numPr>
          <w:ilvl w:val="0"/>
          <w:numId w:val="4"/>
        </w:numPr>
        <w:rPr>
          <w:sz w:val="24"/>
        </w:rPr>
      </w:pPr>
      <w:r w:rsidRPr="0070076D">
        <w:rPr>
          <w:sz w:val="24"/>
        </w:rPr>
        <w:t>Students should use peer feedback as a part of a self-assessment</w:t>
      </w:r>
    </w:p>
    <w:p w:rsidR="007F1AC8" w:rsidRPr="0070076D" w:rsidRDefault="007F1AC8" w:rsidP="007F1AC8">
      <w:pPr>
        <w:rPr>
          <w:sz w:val="24"/>
        </w:rPr>
      </w:pPr>
    </w:p>
    <w:p w:rsidR="007F1AC8" w:rsidRDefault="007F1AC8" w:rsidP="007F1AC8">
      <w:pPr>
        <w:rPr>
          <w:sz w:val="24"/>
        </w:rPr>
      </w:pPr>
      <w:r w:rsidRPr="0070076D">
        <w:rPr>
          <w:sz w:val="24"/>
        </w:rPr>
        <w:t xml:space="preserve">Both campuses use very different assessments at this time. The cornerstone assessment will allow students to demonstrate their understanding by </w:t>
      </w:r>
    </w:p>
    <w:p w:rsidR="007F1AC8" w:rsidRDefault="007F1AC8" w:rsidP="007F1AC8">
      <w:pPr>
        <w:rPr>
          <w:sz w:val="24"/>
        </w:rPr>
      </w:pPr>
      <w:proofErr w:type="gramStart"/>
      <w:r>
        <w:rPr>
          <w:sz w:val="24"/>
        </w:rPr>
        <w:t>????????</w:t>
      </w:r>
      <w:proofErr w:type="gramEnd"/>
    </w:p>
    <w:p w:rsidR="007F1AC8" w:rsidRDefault="007F1AC8" w:rsidP="007F1AC8"/>
    <w:tbl>
      <w:tblPr>
        <w:tblStyle w:val="TableGrid"/>
        <w:tblW w:w="0" w:type="auto"/>
        <w:tblLook w:val="00BF"/>
      </w:tblPr>
      <w:tblGrid>
        <w:gridCol w:w="2223"/>
        <w:gridCol w:w="2074"/>
        <w:gridCol w:w="1902"/>
        <w:gridCol w:w="2316"/>
      </w:tblGrid>
      <w:tr w:rsidR="007F1AC8">
        <w:tc>
          <w:tcPr>
            <w:tcW w:w="8730" w:type="dxa"/>
            <w:gridSpan w:val="4"/>
          </w:tcPr>
          <w:p w:rsidR="007F1AC8" w:rsidRPr="008D5554" w:rsidRDefault="007F1AC8" w:rsidP="001A28FC">
            <w:pPr>
              <w:pStyle w:val="Div"/>
              <w:spacing w:after="280" w:afterAutospacing="1"/>
              <w:jc w:val="center"/>
              <w:rPr>
                <w:rFonts w:ascii="Garamond" w:hAnsi="Garamond"/>
                <w:b/>
                <w:sz w:val="24"/>
              </w:rPr>
            </w:pPr>
            <w:r w:rsidRPr="008D5554">
              <w:rPr>
                <w:rFonts w:ascii="Garamond" w:hAnsi="Garamond"/>
                <w:b/>
                <w:sz w:val="24"/>
              </w:rPr>
              <w:t>Standards</w:t>
            </w:r>
          </w:p>
        </w:tc>
      </w:tr>
      <w:tr w:rsidR="007F1AC8">
        <w:tc>
          <w:tcPr>
            <w:tcW w:w="2250" w:type="dxa"/>
          </w:tcPr>
          <w:p w:rsidR="007F1AC8" w:rsidRPr="007F1AC8" w:rsidRDefault="007F1AC8" w:rsidP="001A28FC">
            <w:pPr>
              <w:rPr>
                <w:rFonts w:ascii="Garamond" w:eastAsiaTheme="minorHAnsi" w:hAnsi="Garamond" w:cs="Arial"/>
                <w:b/>
                <w:bCs/>
                <w:sz w:val="24"/>
                <w:szCs w:val="30"/>
                <w:lang w:eastAsia="en-US"/>
              </w:rPr>
            </w:pPr>
            <w:r w:rsidRPr="007F1AC8">
              <w:rPr>
                <w:rFonts w:ascii="Garamond" w:eastAsiaTheme="minorHAnsi" w:hAnsi="Garamond" w:cs="Arial"/>
                <w:b/>
                <w:bCs/>
                <w:sz w:val="24"/>
                <w:szCs w:val="30"/>
                <w:lang w:eastAsia="en-US"/>
              </w:rPr>
              <w:t>Standard II:</w:t>
            </w:r>
          </w:p>
          <w:p w:rsidR="007F1AC8" w:rsidRPr="007F1AC8" w:rsidRDefault="007F1AC8" w:rsidP="001A28FC">
            <w:pPr>
              <w:rPr>
                <w:rFonts w:ascii="Garamond" w:eastAsiaTheme="minorHAnsi" w:hAnsi="Garamond" w:cs="Arial"/>
                <w:b/>
                <w:bCs/>
                <w:sz w:val="24"/>
                <w:szCs w:val="30"/>
                <w:lang w:eastAsia="en-US"/>
              </w:rPr>
            </w:pPr>
          </w:p>
          <w:p w:rsidR="007F1AC8" w:rsidRPr="007F1AC8" w:rsidRDefault="007F1AC8" w:rsidP="001A28FC">
            <w:pPr>
              <w:rPr>
                <w:rFonts w:ascii="Garamond" w:hAnsi="Garamond" w:cs="Helvetica"/>
                <w:b/>
                <w:sz w:val="24"/>
                <w:szCs w:val="32"/>
                <w:lang w:eastAsia="en-US"/>
              </w:rPr>
            </w:pPr>
            <w:r w:rsidRPr="007F1AC8">
              <w:rPr>
                <w:rFonts w:ascii="Garamond" w:eastAsiaTheme="minorHAnsi" w:hAnsi="Garamond" w:cs="Arial"/>
                <w:b/>
                <w:bCs/>
                <w:sz w:val="24"/>
                <w:szCs w:val="30"/>
                <w:lang w:eastAsia="en-US"/>
              </w:rPr>
              <w:t>Explore and apply geographic knowledge and skills</w:t>
            </w:r>
          </w:p>
        </w:tc>
        <w:tc>
          <w:tcPr>
            <w:tcW w:w="2160" w:type="dxa"/>
          </w:tcPr>
          <w:p w:rsidR="007F1AC8" w:rsidRPr="006A40AD" w:rsidRDefault="007F1AC8" w:rsidP="001A28F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7F1AC8" w:rsidRPr="006A40AD" w:rsidRDefault="007F1AC8" w:rsidP="001A28FC">
            <w:pPr>
              <w:rPr>
                <w:sz w:val="20"/>
              </w:rPr>
            </w:pPr>
          </w:p>
        </w:tc>
        <w:tc>
          <w:tcPr>
            <w:tcW w:w="2340" w:type="dxa"/>
          </w:tcPr>
          <w:p w:rsidR="007F1AC8" w:rsidRPr="007F1AC8" w:rsidRDefault="007F1AC8" w:rsidP="001A28FC">
            <w:pPr>
              <w:pStyle w:val="Div"/>
              <w:spacing w:after="280" w:afterAutospacing="1"/>
              <w:rPr>
                <w:rFonts w:ascii="Garamond" w:hAnsi="Garamond"/>
                <w:b/>
                <w:sz w:val="24"/>
              </w:rPr>
            </w:pPr>
            <w:r w:rsidRPr="007F1AC8">
              <w:rPr>
                <w:rFonts w:ascii="Garamond" w:hAnsi="Garamond"/>
                <w:b/>
                <w:sz w:val="24"/>
              </w:rPr>
              <w:t xml:space="preserve">Standard VI: </w:t>
            </w:r>
          </w:p>
          <w:p w:rsidR="007F1AC8" w:rsidRPr="007F1AC8" w:rsidRDefault="007F1AC8" w:rsidP="001A28FC">
            <w:pPr>
              <w:pStyle w:val="Div"/>
              <w:spacing w:after="280" w:afterAutospacing="1"/>
              <w:rPr>
                <w:rFonts w:ascii="Garamond" w:hAnsi="Garamond"/>
                <w:b/>
                <w:sz w:val="24"/>
              </w:rPr>
            </w:pPr>
            <w:r w:rsidRPr="007F1AC8">
              <w:rPr>
                <w:rFonts w:ascii="Garamond" w:hAnsi="Garamond"/>
                <w:b/>
                <w:sz w:val="24"/>
              </w:rPr>
              <w:t>Apply literacy skills and understandings of key ideas, details, structure, and integration of knowledge. </w:t>
            </w:r>
          </w:p>
          <w:p w:rsidR="007F1AC8" w:rsidRPr="006A40AD" w:rsidRDefault="007F1AC8" w:rsidP="001A28FC">
            <w:pPr>
              <w:rPr>
                <w:sz w:val="20"/>
              </w:rPr>
            </w:pPr>
          </w:p>
        </w:tc>
      </w:tr>
      <w:tr w:rsidR="007F1AC8">
        <w:tc>
          <w:tcPr>
            <w:tcW w:w="8730" w:type="dxa"/>
            <w:gridSpan w:val="4"/>
          </w:tcPr>
          <w:p w:rsidR="007F1AC8" w:rsidRPr="008D5554" w:rsidRDefault="007F1AC8" w:rsidP="001A28FC">
            <w:pPr>
              <w:pStyle w:val="Div"/>
              <w:spacing w:after="280" w:afterAutospacing="1"/>
              <w:jc w:val="center"/>
              <w:rPr>
                <w:rFonts w:ascii="Garamond" w:hAnsi="Garamond"/>
                <w:b/>
                <w:sz w:val="24"/>
              </w:rPr>
            </w:pPr>
            <w:r w:rsidRPr="008D5554">
              <w:rPr>
                <w:rFonts w:ascii="Garamond" w:hAnsi="Garamond" w:cs="Helvetica"/>
                <w:b/>
                <w:sz w:val="24"/>
                <w:szCs w:val="32"/>
                <w:lang w:eastAsia="en-US"/>
              </w:rPr>
              <w:t>Enduring Understandings</w:t>
            </w:r>
          </w:p>
        </w:tc>
      </w:tr>
      <w:tr w:rsidR="007F1AC8">
        <w:tc>
          <w:tcPr>
            <w:tcW w:w="2250" w:type="dxa"/>
          </w:tcPr>
          <w:p w:rsidR="007F1AC8" w:rsidRPr="007F1AC8" w:rsidRDefault="007F1AC8" w:rsidP="007F1AC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40" w:lineRule="atLeast"/>
              <w:rPr>
                <w:rFonts w:ascii="Garamond" w:hAnsi="Garamond" w:cs="Verdana"/>
                <w:b/>
                <w:bCs/>
                <w:kern w:val="32"/>
                <w:sz w:val="20"/>
                <w:szCs w:val="18"/>
              </w:rPr>
            </w:pPr>
            <w:r w:rsidRPr="007F1AC8">
              <w:rPr>
                <w:rFonts w:ascii="Garamond" w:eastAsiaTheme="minorHAnsi" w:hAnsi="Garamond"/>
                <w:sz w:val="20"/>
                <w:szCs w:val="26"/>
              </w:rPr>
              <w:t>Examine ways that humans have influenced, and are influenced by, geographic conditions</w:t>
            </w:r>
          </w:p>
        </w:tc>
        <w:tc>
          <w:tcPr>
            <w:tcW w:w="2160" w:type="dxa"/>
          </w:tcPr>
          <w:p w:rsidR="007F1AC8" w:rsidRDefault="007F1AC8" w:rsidP="001A28FC"/>
        </w:tc>
        <w:tc>
          <w:tcPr>
            <w:tcW w:w="1980" w:type="dxa"/>
          </w:tcPr>
          <w:p w:rsidR="007F1AC8" w:rsidRDefault="007F1AC8" w:rsidP="001A28FC">
            <w:pPr>
              <w:widowControl w:val="0"/>
              <w:tabs>
                <w:tab w:val="left" w:pos="324"/>
                <w:tab w:val="left" w:pos="720"/>
              </w:tabs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7F1AC8" w:rsidRDefault="007F1AC8" w:rsidP="00032F0E">
            <w:pPr>
              <w:pStyle w:val="ListParagraph"/>
              <w:widowControl w:val="0"/>
              <w:numPr>
                <w:ilvl w:val="3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Garamond" w:hAnsi="Garamond" w:cs="Helvetica"/>
                <w:sz w:val="20"/>
              </w:rPr>
            </w:pPr>
            <w:r w:rsidRPr="006A40AD">
              <w:rPr>
                <w:rFonts w:ascii="Garamond" w:hAnsi="Garamond" w:cs="Helvetica"/>
                <w:sz w:val="20"/>
              </w:rPr>
              <w:t>Employ creative thinking, construction of knowledge, and development of innovative products and processes</w:t>
            </w:r>
            <w:r>
              <w:rPr>
                <w:rFonts w:ascii="Garamond" w:hAnsi="Garamond" w:cs="Helvetica"/>
                <w:sz w:val="20"/>
              </w:rPr>
              <w:t xml:space="preserve"> using technology.</w:t>
            </w:r>
          </w:p>
          <w:p w:rsidR="007F1AC8" w:rsidRPr="006A40AD" w:rsidRDefault="007F1AC8" w:rsidP="00032F0E">
            <w:pPr>
              <w:pStyle w:val="ListParagraph"/>
              <w:widowControl w:val="0"/>
              <w:numPr>
                <w:ilvl w:val="3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60"/>
              <w:rPr>
                <w:rFonts w:ascii="Garamond" w:hAnsi="Garamond" w:cs="Helvetica"/>
                <w:sz w:val="20"/>
              </w:rPr>
            </w:pPr>
            <w:r w:rsidRPr="006A40AD">
              <w:rPr>
                <w:rFonts w:ascii="Garamond" w:hAnsi="Garamond" w:cs="Verdana"/>
                <w:bCs/>
                <w:kern w:val="32"/>
                <w:sz w:val="20"/>
                <w:szCs w:val="18"/>
              </w:rPr>
              <w:t>Utilize technology to plan and manage activities to develop a solution or complete a project.</w:t>
            </w:r>
          </w:p>
        </w:tc>
      </w:tr>
    </w:tbl>
    <w:p w:rsidR="007F1AC8" w:rsidRDefault="007F1AC8" w:rsidP="007F1AC8"/>
    <w:p w:rsidR="007F1AC8" w:rsidRPr="00032F0E" w:rsidRDefault="007F1AC8" w:rsidP="007F1AC8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eastAsiaTheme="minorHAnsi" w:hAnsi="Verdana" w:cs="Verdana"/>
          <w:color w:val="1F1F1F"/>
          <w:lang w:eastAsia="en-US"/>
        </w:rPr>
      </w:pPr>
      <w:r>
        <w:rPr>
          <w:rFonts w:ascii="Verdana" w:hAnsi="Verdana" w:cs="Verdana"/>
          <w:b/>
          <w:bCs/>
          <w:color w:val="1F1F1F"/>
          <w:lang w:eastAsia="en-US"/>
        </w:rPr>
        <w:t xml:space="preserve">Essential Questions for the </w:t>
      </w:r>
      <w:r>
        <w:rPr>
          <w:rFonts w:ascii="Verdana" w:eastAsiaTheme="minorHAnsi" w:hAnsi="Verdana" w:cs="Verdana"/>
          <w:b/>
          <w:bCs/>
          <w:color w:val="1F1F1F"/>
          <w:lang w:eastAsia="en-US"/>
        </w:rPr>
        <w:t>Renaissance</w:t>
      </w:r>
      <w:r>
        <w:rPr>
          <w:rFonts w:ascii="Verdana" w:eastAsiaTheme="minorHAnsi" w:hAnsi="Verdana" w:cs="Verdana"/>
          <w:color w:val="1F1F1F"/>
          <w:lang w:eastAsia="en-US"/>
        </w:rPr>
        <w:t xml:space="preserve"> </w:t>
      </w:r>
      <w:r>
        <w:rPr>
          <w:rFonts w:ascii="Verdana" w:hAnsi="Verdana" w:cs="Verdana"/>
          <w:b/>
          <w:bCs/>
          <w:color w:val="1F1F1F"/>
          <w:lang w:eastAsia="en-US"/>
        </w:rPr>
        <w:t>(PUDONG currently)</w:t>
      </w:r>
    </w:p>
    <w:p w:rsidR="007F1AC8" w:rsidRDefault="007F1AC8" w:rsidP="007F1AC8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eastAsiaTheme="minorHAnsi" w:hAnsi="Verdana" w:cs="Verdana"/>
          <w:color w:val="1F1F1F"/>
          <w:lang w:eastAsia="en-US"/>
        </w:rPr>
      </w:pPr>
      <w:r>
        <w:rPr>
          <w:rFonts w:ascii="Verdana" w:eastAsiaTheme="minorHAnsi" w:hAnsi="Verdana" w:cs="Verdana"/>
          <w:color w:val="1F1F1F"/>
          <w:lang w:eastAsia="en-US"/>
        </w:rPr>
        <w:t>NONE</w:t>
      </w:r>
    </w:p>
    <w:p w:rsidR="007F1AC8" w:rsidRPr="00032F0E" w:rsidRDefault="007F1AC8" w:rsidP="007F1AC8">
      <w:pPr>
        <w:widowControl w:val="0"/>
        <w:autoSpaceDE w:val="0"/>
        <w:autoSpaceDN w:val="0"/>
        <w:adjustRightInd w:val="0"/>
        <w:spacing w:after="300" w:line="320" w:lineRule="atLeast"/>
        <w:rPr>
          <w:rFonts w:ascii="Verdana" w:eastAsiaTheme="minorHAnsi" w:hAnsi="Verdana" w:cs="Verdana"/>
          <w:color w:val="1F1F1F"/>
          <w:lang w:eastAsia="en-US"/>
        </w:rPr>
      </w:pPr>
      <w:r>
        <w:rPr>
          <w:rFonts w:ascii="Verdana" w:hAnsi="Verdana" w:cs="Verdana"/>
          <w:b/>
          <w:bCs/>
          <w:color w:val="1F1F1F"/>
          <w:lang w:eastAsia="en-US"/>
        </w:rPr>
        <w:t xml:space="preserve">Essential Questions for the </w:t>
      </w:r>
      <w:r>
        <w:rPr>
          <w:rFonts w:ascii="Verdana" w:eastAsiaTheme="minorHAnsi" w:hAnsi="Verdana" w:cs="Verdana"/>
          <w:b/>
          <w:bCs/>
          <w:color w:val="1F1F1F"/>
          <w:lang w:eastAsia="en-US"/>
        </w:rPr>
        <w:t>Renaissance</w:t>
      </w:r>
      <w:r>
        <w:rPr>
          <w:rFonts w:ascii="Verdana" w:eastAsiaTheme="minorHAnsi" w:hAnsi="Verdana" w:cs="Verdana"/>
          <w:color w:val="1F1F1F"/>
          <w:lang w:eastAsia="en-US"/>
        </w:rPr>
        <w:t xml:space="preserve"> </w:t>
      </w:r>
      <w:r>
        <w:rPr>
          <w:rFonts w:ascii="Verdana" w:hAnsi="Verdana" w:cs="Verdana"/>
          <w:b/>
          <w:bCs/>
          <w:color w:val="1F1F1F"/>
          <w:lang w:eastAsia="en-US"/>
        </w:rPr>
        <w:t>(PUXI currently)</w:t>
      </w:r>
    </w:p>
    <w:p w:rsidR="007F1AC8" w:rsidRDefault="007F1AC8" w:rsidP="007F1AC8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Verdana" w:eastAsiaTheme="minorHAnsi" w:hAnsi="Verdana" w:cs="Verdana"/>
          <w:sz w:val="26"/>
          <w:szCs w:val="26"/>
        </w:rPr>
      </w:pPr>
      <w:r w:rsidRPr="007F1AC8">
        <w:rPr>
          <w:rFonts w:ascii="Verdana" w:eastAsiaTheme="minorHAnsi" w:hAnsi="Verdana" w:cs="Verdana"/>
          <w:sz w:val="26"/>
          <w:szCs w:val="26"/>
        </w:rPr>
        <w:t>What is geography?</w:t>
      </w:r>
    </w:p>
    <w:p w:rsidR="007F1AC8" w:rsidRDefault="007F1AC8" w:rsidP="007F1AC8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Verdana" w:eastAsiaTheme="minorHAnsi" w:hAnsi="Verdana" w:cs="Verdana"/>
          <w:sz w:val="26"/>
          <w:szCs w:val="26"/>
        </w:rPr>
      </w:pPr>
      <w:r w:rsidRPr="007F1AC8">
        <w:rPr>
          <w:rFonts w:ascii="Verdana" w:eastAsiaTheme="minorHAnsi" w:hAnsi="Verdana" w:cs="Verdana"/>
          <w:sz w:val="26"/>
          <w:szCs w:val="26"/>
        </w:rPr>
        <w:t>How did the institution of the Chinese government create change through Three Gorges Dam project?</w:t>
      </w:r>
    </w:p>
    <w:p w:rsidR="00D36D12" w:rsidRPr="007F1AC8" w:rsidRDefault="007F1AC8" w:rsidP="007F1AC8">
      <w:pPr>
        <w:pStyle w:val="ListParagraph"/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Verdana" w:eastAsiaTheme="minorHAnsi" w:hAnsi="Verdana" w:cs="Verdana"/>
          <w:sz w:val="26"/>
          <w:szCs w:val="26"/>
        </w:rPr>
      </w:pPr>
      <w:r w:rsidRPr="007F1AC8">
        <w:rPr>
          <w:rFonts w:ascii="Verdana" w:eastAsiaTheme="minorHAnsi" w:hAnsi="Verdana" w:cs="Verdana"/>
          <w:sz w:val="26"/>
          <w:szCs w:val="26"/>
        </w:rPr>
        <w:t>How do geographic features influence humans?</w:t>
      </w:r>
    </w:p>
    <w:sectPr w:rsidR="00D36D12" w:rsidRPr="007F1AC8" w:rsidSect="001A28FC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37CA9910"/>
    <w:lvl w:ilvl="0" w:tplc="7BC49E58">
      <w:start w:val="1"/>
      <w:numFmt w:val="bullet"/>
      <w:lvlText w:val="•"/>
      <w:lvlJc w:val="left"/>
      <w:pPr>
        <w:ind w:left="720" w:hanging="360"/>
      </w:pPr>
      <w:rPr>
        <w:rFonts w:ascii="Verdana" w:eastAsiaTheme="minorHAnsi" w:hAnsi="Verdana" w:cs="Verdan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D"/>
    <w:multiLevelType w:val="hybridMultilevel"/>
    <w:tmpl w:val="1B16A2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37E9F"/>
    <w:multiLevelType w:val="hybridMultilevel"/>
    <w:tmpl w:val="0A4EB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20EF9"/>
    <w:multiLevelType w:val="hybridMultilevel"/>
    <w:tmpl w:val="11F8B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33721"/>
    <w:multiLevelType w:val="hybridMultilevel"/>
    <w:tmpl w:val="7004D088"/>
    <w:lvl w:ilvl="0" w:tplc="875408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Verdan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EFD06AB"/>
    <w:multiLevelType w:val="hybridMultilevel"/>
    <w:tmpl w:val="2086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34B48"/>
    <w:multiLevelType w:val="hybridMultilevel"/>
    <w:tmpl w:val="794E0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27AF1"/>
    <w:multiLevelType w:val="multilevel"/>
    <w:tmpl w:val="7004D08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Verdan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D27460"/>
    <w:multiLevelType w:val="hybridMultilevel"/>
    <w:tmpl w:val="5C0C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1AC8"/>
    <w:rsid w:val="007F1AC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F1AC8"/>
    <w:rPr>
      <w:rFonts w:ascii="Calibri" w:eastAsia="SimSun" w:hAnsi="Calibri" w:cs="Times New Roman"/>
      <w:sz w:val="22"/>
      <w:szCs w:val="22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F1AC8"/>
    <w:rPr>
      <w:rFonts w:ascii="Calibri" w:eastAsia="SimSu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1AC8"/>
    <w:pPr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paragraph" w:customStyle="1" w:styleId="Div">
    <w:name w:val="Div"/>
    <w:basedOn w:val="Normal"/>
    <w:rsid w:val="007F1AC8"/>
    <w:pPr>
      <w:shd w:val="solid" w:color="FFFFFF" w:fill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1318</Characters>
  <Application>Microsoft Word 12.0.0</Application>
  <DocSecurity>0</DocSecurity>
  <Lines>10</Lines>
  <Paragraphs>2</Paragraphs>
  <ScaleCrop>false</ScaleCrop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2011-02-07T06:39:00Z</dcterms:created>
  <dcterms:modified xsi:type="dcterms:W3CDTF">2011-02-07T06:45:00Z</dcterms:modified>
</cp:coreProperties>
</file>